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04525" w14:textId="77777777" w:rsidR="00873D8A" w:rsidRDefault="00000000">
      <w:pPr>
        <w:ind w:left="0" w:hanging="2"/>
        <w:jc w:val="center"/>
      </w:pPr>
      <w:r>
        <w:rPr>
          <w:b/>
        </w:rPr>
        <w:t>Табела 5.2.</w:t>
      </w:r>
      <w:r>
        <w:t xml:space="preserve"> Спецификација предмета</w:t>
      </w:r>
    </w:p>
    <w:p w14:paraId="47F99095" w14:textId="77777777" w:rsidR="00873D8A" w:rsidRDefault="00873D8A">
      <w:pPr>
        <w:ind w:left="0" w:hanging="2"/>
        <w:jc w:val="center"/>
      </w:pPr>
    </w:p>
    <w:tbl>
      <w:tblPr>
        <w:tblStyle w:val="a"/>
        <w:tblW w:w="101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46"/>
        <w:gridCol w:w="1960"/>
        <w:gridCol w:w="1175"/>
        <w:gridCol w:w="2048"/>
        <w:gridCol w:w="1774"/>
      </w:tblGrid>
      <w:tr w:rsidR="00873D8A" w14:paraId="5F48C307" w14:textId="77777777">
        <w:trPr>
          <w:trHeight w:val="227"/>
          <w:jc w:val="center"/>
        </w:trPr>
        <w:tc>
          <w:tcPr>
            <w:tcW w:w="10103" w:type="dxa"/>
            <w:gridSpan w:val="5"/>
            <w:vAlign w:val="center"/>
          </w:tcPr>
          <w:p w14:paraId="4C2C6C6F" w14:textId="77777777" w:rsidR="00873D8A" w:rsidRDefault="00000000">
            <w:pPr>
              <w:tabs>
                <w:tab w:val="left" w:pos="567"/>
              </w:tabs>
              <w:spacing w:before="40" w:after="40"/>
              <w:ind w:left="0" w:hanging="2"/>
            </w:pPr>
            <w:r>
              <w:rPr>
                <w:b/>
              </w:rPr>
              <w:t>Студијски програм: Социјална политика и социјални рад</w:t>
            </w:r>
          </w:p>
        </w:tc>
      </w:tr>
      <w:tr w:rsidR="00873D8A" w14:paraId="051C2200" w14:textId="77777777">
        <w:trPr>
          <w:trHeight w:val="227"/>
          <w:jc w:val="center"/>
        </w:trPr>
        <w:tc>
          <w:tcPr>
            <w:tcW w:w="10103" w:type="dxa"/>
            <w:gridSpan w:val="5"/>
            <w:vAlign w:val="center"/>
          </w:tcPr>
          <w:p w14:paraId="056EC22E" w14:textId="77777777" w:rsidR="00873D8A" w:rsidRDefault="00000000">
            <w:pPr>
              <w:tabs>
                <w:tab w:val="left" w:pos="567"/>
              </w:tabs>
              <w:spacing w:before="40" w:after="40"/>
              <w:ind w:left="0" w:hanging="2"/>
            </w:pPr>
            <w:r>
              <w:rPr>
                <w:b/>
              </w:rPr>
              <w:t xml:space="preserve">Назив предмета: Психологија менталног здравља </w:t>
            </w:r>
          </w:p>
        </w:tc>
      </w:tr>
      <w:tr w:rsidR="00873D8A" w14:paraId="78258B7D" w14:textId="77777777">
        <w:trPr>
          <w:trHeight w:val="227"/>
          <w:jc w:val="center"/>
        </w:trPr>
        <w:tc>
          <w:tcPr>
            <w:tcW w:w="10103" w:type="dxa"/>
            <w:gridSpan w:val="5"/>
            <w:vAlign w:val="center"/>
          </w:tcPr>
          <w:p w14:paraId="235111D3" w14:textId="77777777" w:rsidR="00873D8A" w:rsidRDefault="00000000">
            <w:pPr>
              <w:tabs>
                <w:tab w:val="left" w:pos="567"/>
              </w:tabs>
              <w:spacing w:before="40" w:after="40"/>
              <w:ind w:left="0" w:hanging="2"/>
            </w:pPr>
            <w:r>
              <w:rPr>
                <w:b/>
              </w:rPr>
              <w:t>Наставник: Миљана Спасић Шнеле</w:t>
            </w:r>
          </w:p>
        </w:tc>
      </w:tr>
      <w:tr w:rsidR="00873D8A" w14:paraId="6C21FAD1" w14:textId="77777777">
        <w:trPr>
          <w:trHeight w:val="227"/>
          <w:jc w:val="center"/>
        </w:trPr>
        <w:tc>
          <w:tcPr>
            <w:tcW w:w="10103" w:type="dxa"/>
            <w:gridSpan w:val="5"/>
            <w:vAlign w:val="center"/>
          </w:tcPr>
          <w:p w14:paraId="53653152" w14:textId="77777777" w:rsidR="00873D8A" w:rsidRDefault="00000000">
            <w:pPr>
              <w:tabs>
                <w:tab w:val="left" w:pos="567"/>
              </w:tabs>
              <w:spacing w:before="40" w:after="40"/>
              <w:ind w:left="0" w:hanging="2"/>
            </w:pPr>
            <w:r>
              <w:rPr>
                <w:b/>
              </w:rPr>
              <w:t xml:space="preserve">Статус предмета: </w:t>
            </w:r>
            <w:r>
              <w:t>изборни</w:t>
            </w:r>
          </w:p>
        </w:tc>
      </w:tr>
      <w:tr w:rsidR="00873D8A" w14:paraId="0DA89991" w14:textId="77777777">
        <w:trPr>
          <w:trHeight w:val="227"/>
          <w:jc w:val="center"/>
        </w:trPr>
        <w:tc>
          <w:tcPr>
            <w:tcW w:w="10103" w:type="dxa"/>
            <w:gridSpan w:val="5"/>
            <w:vAlign w:val="center"/>
          </w:tcPr>
          <w:p w14:paraId="6EA01092" w14:textId="77777777" w:rsidR="00873D8A" w:rsidRDefault="00000000">
            <w:pPr>
              <w:tabs>
                <w:tab w:val="left" w:pos="567"/>
              </w:tabs>
              <w:spacing w:before="40" w:after="40"/>
              <w:ind w:left="0" w:hanging="2"/>
            </w:pPr>
            <w:r>
              <w:rPr>
                <w:b/>
              </w:rPr>
              <w:t xml:space="preserve">Број ЕСПБ: </w:t>
            </w:r>
            <w:r>
              <w:t>5</w:t>
            </w:r>
          </w:p>
        </w:tc>
      </w:tr>
      <w:tr w:rsidR="00873D8A" w14:paraId="6E7CA6F9" w14:textId="77777777">
        <w:trPr>
          <w:trHeight w:val="227"/>
          <w:jc w:val="center"/>
        </w:trPr>
        <w:tc>
          <w:tcPr>
            <w:tcW w:w="10103" w:type="dxa"/>
            <w:gridSpan w:val="5"/>
            <w:vAlign w:val="center"/>
          </w:tcPr>
          <w:p w14:paraId="18181224" w14:textId="77777777" w:rsidR="00873D8A" w:rsidRDefault="00000000">
            <w:pPr>
              <w:tabs>
                <w:tab w:val="left" w:pos="567"/>
              </w:tabs>
              <w:spacing w:before="40" w:after="40"/>
              <w:ind w:left="0" w:hanging="2"/>
            </w:pPr>
            <w:r>
              <w:rPr>
                <w:b/>
              </w:rPr>
              <w:t>Услов: /</w:t>
            </w:r>
          </w:p>
        </w:tc>
      </w:tr>
      <w:tr w:rsidR="00873D8A" w14:paraId="433EB435" w14:textId="77777777">
        <w:trPr>
          <w:trHeight w:val="227"/>
          <w:jc w:val="center"/>
        </w:trPr>
        <w:tc>
          <w:tcPr>
            <w:tcW w:w="10103" w:type="dxa"/>
            <w:gridSpan w:val="5"/>
            <w:vAlign w:val="center"/>
          </w:tcPr>
          <w:p w14:paraId="3F1E8BA1" w14:textId="77777777" w:rsidR="00873D8A" w:rsidRDefault="00000000">
            <w:pPr>
              <w:tabs>
                <w:tab w:val="left" w:pos="567"/>
              </w:tabs>
              <w:spacing w:after="60"/>
              <w:ind w:left="0" w:hanging="2"/>
            </w:pPr>
            <w:r>
              <w:rPr>
                <w:b/>
              </w:rPr>
              <w:t>Циљ предмета</w:t>
            </w:r>
          </w:p>
          <w:p w14:paraId="11DF6BFE" w14:textId="77777777" w:rsidR="00873D8A" w:rsidRDefault="00000000">
            <w:pPr>
              <w:tabs>
                <w:tab w:val="left" w:pos="567"/>
              </w:tabs>
              <w:spacing w:after="60"/>
              <w:ind w:left="0" w:hanging="2"/>
              <w:jc w:val="both"/>
            </w:pPr>
            <w:r>
              <w:t>Упознавање студената са значајним појмовима заштите менталног здравља целокупног животног циклуса, као и различитим моделима менталног здравља. Упознавање студената са породичним функционисањем и утицајем породице на ментални развој свих чланова, а нарочито деце, адолесцената и посебно вулнерабилних чланова. Упознавање студената са концептима кризе и стреса, моделима превенције и психологијом у заједници као оквиром за очување менталног здравља. Упознавање студената са појмовима везаним за хронични стрес појмовима резилиентности и трауме, као и могућностима стручњака из помагачких професија да допринесу емоционалном и менталном опоравку.</w:t>
            </w:r>
          </w:p>
        </w:tc>
      </w:tr>
      <w:tr w:rsidR="00873D8A" w14:paraId="3A416898" w14:textId="77777777">
        <w:trPr>
          <w:trHeight w:val="227"/>
          <w:jc w:val="center"/>
        </w:trPr>
        <w:tc>
          <w:tcPr>
            <w:tcW w:w="10103" w:type="dxa"/>
            <w:gridSpan w:val="5"/>
            <w:vAlign w:val="center"/>
          </w:tcPr>
          <w:p w14:paraId="5794334A" w14:textId="77777777" w:rsidR="00873D8A" w:rsidRDefault="00000000">
            <w:pPr>
              <w:tabs>
                <w:tab w:val="left" w:pos="567"/>
              </w:tabs>
              <w:spacing w:after="60"/>
              <w:ind w:left="0" w:hanging="2"/>
            </w:pPr>
            <w:r>
              <w:rPr>
                <w:b/>
              </w:rPr>
              <w:t xml:space="preserve">Исход предмета </w:t>
            </w:r>
          </w:p>
          <w:p w14:paraId="6B807625" w14:textId="77777777" w:rsidR="00873D8A" w:rsidRDefault="00000000">
            <w:pPr>
              <w:tabs>
                <w:tab w:val="left" w:pos="567"/>
              </w:tabs>
              <w:spacing w:after="60"/>
              <w:ind w:left="0" w:hanging="2"/>
              <w:jc w:val="both"/>
            </w:pPr>
            <w:r>
              <w:t>Од студента се очекује да покажу развијен сензибилитет за препознавање и диференцирање појава које одступају од норми менталног здравља, као и ефеката на различите области појединчевог живота. Очекује се изграђена способност за анализу проблема менталног здравља и одређивање оптималних стратегија за њихово превазичлажење. Очекује се да буду оспособљени да самостално направе превентивни програм за теме обухваћене теоријском настаом, а такође да опишу и одреде ризичне и протективне факторе за имплементацију ових програма у пракси.</w:t>
            </w:r>
          </w:p>
        </w:tc>
      </w:tr>
      <w:tr w:rsidR="00873D8A" w14:paraId="36A1B32F" w14:textId="77777777">
        <w:trPr>
          <w:trHeight w:val="227"/>
          <w:jc w:val="center"/>
        </w:trPr>
        <w:tc>
          <w:tcPr>
            <w:tcW w:w="10103" w:type="dxa"/>
            <w:gridSpan w:val="5"/>
            <w:vAlign w:val="center"/>
          </w:tcPr>
          <w:p w14:paraId="7A56727F" w14:textId="77777777" w:rsidR="00873D8A" w:rsidRDefault="00000000">
            <w:pPr>
              <w:tabs>
                <w:tab w:val="left" w:pos="567"/>
              </w:tabs>
              <w:spacing w:after="60"/>
              <w:ind w:left="0" w:hanging="2"/>
            </w:pPr>
            <w:r>
              <w:rPr>
                <w:b/>
              </w:rPr>
              <w:t>Садржај предмета</w:t>
            </w:r>
          </w:p>
          <w:p w14:paraId="617365D3" w14:textId="77777777" w:rsidR="00873D8A" w:rsidRDefault="00000000">
            <w:pPr>
              <w:tabs>
                <w:tab w:val="left" w:pos="567"/>
              </w:tabs>
              <w:spacing w:after="60"/>
              <w:ind w:left="0" w:hanging="2"/>
            </w:pPr>
            <w:r>
              <w:rPr>
                <w:i/>
              </w:rPr>
              <w:t>Теоријска настава</w:t>
            </w:r>
          </w:p>
          <w:p w14:paraId="23163AE0" w14:textId="77777777" w:rsidR="00873D8A" w:rsidRDefault="00000000">
            <w:pPr>
              <w:tabs>
                <w:tab w:val="left" w:pos="567"/>
              </w:tabs>
              <w:ind w:left="0" w:hanging="2"/>
            </w:pPr>
            <w:r>
              <w:t>1.</w:t>
            </w:r>
            <w:r>
              <w:tab/>
              <w:t>Одређење менталног поремећаја и менталног здравља</w:t>
            </w:r>
          </w:p>
          <w:p w14:paraId="26DD7A72" w14:textId="77777777" w:rsidR="00873D8A" w:rsidRDefault="00000000">
            <w:pPr>
              <w:tabs>
                <w:tab w:val="left" w:pos="567"/>
              </w:tabs>
              <w:ind w:left="0" w:hanging="2"/>
            </w:pPr>
            <w:r>
              <w:t>2.</w:t>
            </w:r>
            <w:r>
              <w:tab/>
              <w:t xml:space="preserve">Основни експлицитни и имплицитни циљеви заштите менталног здравља </w:t>
            </w:r>
          </w:p>
          <w:p w14:paraId="19AF1D71" w14:textId="77777777" w:rsidR="00873D8A" w:rsidRDefault="00000000">
            <w:pPr>
              <w:tabs>
                <w:tab w:val="left" w:pos="567"/>
              </w:tabs>
              <w:ind w:left="0" w:hanging="2"/>
            </w:pPr>
            <w:r>
              <w:t>3.</w:t>
            </w:r>
            <w:r>
              <w:tab/>
              <w:t>Улога психосоцијалних фактора у нарушавању и одржању менталног здравља</w:t>
            </w:r>
          </w:p>
          <w:p w14:paraId="6E092A1A" w14:textId="77777777" w:rsidR="00873D8A" w:rsidRDefault="00000000">
            <w:pPr>
              <w:tabs>
                <w:tab w:val="left" w:pos="567"/>
              </w:tabs>
              <w:ind w:left="0" w:hanging="2"/>
            </w:pPr>
            <w:r>
              <w:t>4.</w:t>
            </w:r>
            <w:r>
              <w:tab/>
              <w:t>Модели менталног здравља</w:t>
            </w:r>
          </w:p>
          <w:p w14:paraId="70A10E2B" w14:textId="77777777" w:rsidR="00873D8A" w:rsidRDefault="00000000">
            <w:pPr>
              <w:tabs>
                <w:tab w:val="left" w:pos="567"/>
              </w:tabs>
              <w:ind w:left="0" w:hanging="2"/>
            </w:pPr>
            <w:r>
              <w:t>5.</w:t>
            </w:r>
            <w:r>
              <w:tab/>
              <w:t>Емоционална интелигенција као значајан фактор менталног здравља</w:t>
            </w:r>
          </w:p>
          <w:p w14:paraId="6DA98905" w14:textId="77777777" w:rsidR="00873D8A" w:rsidRDefault="00000000">
            <w:pPr>
              <w:tabs>
                <w:tab w:val="left" w:pos="567"/>
              </w:tabs>
              <w:ind w:left="0" w:hanging="2"/>
            </w:pPr>
            <w:r>
              <w:t>6.</w:t>
            </w:r>
            <w:r>
              <w:tab/>
              <w:t>Усавршавање емоција</w:t>
            </w:r>
          </w:p>
          <w:p w14:paraId="1BFA7955" w14:textId="77777777" w:rsidR="00873D8A" w:rsidRDefault="00000000">
            <w:pPr>
              <w:tabs>
                <w:tab w:val="left" w:pos="567"/>
              </w:tabs>
              <w:ind w:left="0" w:hanging="2"/>
            </w:pPr>
            <w:r>
              <w:t>7.</w:t>
            </w:r>
            <w:r>
              <w:tab/>
              <w:t>Ментално здравље и емоционална интелигенција деце</w:t>
            </w:r>
          </w:p>
          <w:p w14:paraId="730D76BC" w14:textId="77777777" w:rsidR="00873D8A" w:rsidRDefault="00000000">
            <w:pPr>
              <w:tabs>
                <w:tab w:val="left" w:pos="567"/>
              </w:tabs>
              <w:ind w:left="0" w:hanging="2"/>
            </w:pPr>
            <w:r>
              <w:t>8.</w:t>
            </w:r>
            <w:r>
              <w:tab/>
              <w:t>Ментално здравље и емоционална и социјална интелигенција адолесцената</w:t>
            </w:r>
          </w:p>
          <w:p w14:paraId="669107BA" w14:textId="77777777" w:rsidR="00873D8A" w:rsidRDefault="00000000">
            <w:pPr>
              <w:tabs>
                <w:tab w:val="left" w:pos="567"/>
              </w:tabs>
              <w:ind w:left="0" w:hanging="2"/>
            </w:pPr>
            <w:r>
              <w:t>9.</w:t>
            </w:r>
            <w:r>
              <w:tab/>
              <w:t>Стрес и његово превазилажење</w:t>
            </w:r>
          </w:p>
          <w:p w14:paraId="64E2471B" w14:textId="77777777" w:rsidR="00873D8A" w:rsidRDefault="00000000">
            <w:pPr>
              <w:tabs>
                <w:tab w:val="left" w:pos="567"/>
              </w:tabs>
              <w:ind w:left="0" w:hanging="2"/>
            </w:pPr>
            <w:r>
              <w:t>10.</w:t>
            </w:r>
            <w:r>
              <w:tab/>
              <w:t>Психичка криза и интервенције у кризи</w:t>
            </w:r>
          </w:p>
          <w:p w14:paraId="57CEBD29" w14:textId="77777777" w:rsidR="00873D8A" w:rsidRDefault="00000000">
            <w:pPr>
              <w:tabs>
                <w:tab w:val="left" w:pos="567"/>
              </w:tabs>
              <w:ind w:left="0" w:hanging="2"/>
            </w:pPr>
            <w:r>
              <w:t>11.</w:t>
            </w:r>
            <w:r>
              <w:tab/>
              <w:t>Резилиентност – одређење и улога у животним кризама</w:t>
            </w:r>
          </w:p>
          <w:p w14:paraId="313BAC61" w14:textId="77777777" w:rsidR="00873D8A" w:rsidRDefault="00000000">
            <w:pPr>
              <w:tabs>
                <w:tab w:val="left" w:pos="567"/>
              </w:tabs>
              <w:ind w:left="0" w:hanging="2"/>
            </w:pPr>
            <w:r>
              <w:t>12.</w:t>
            </w:r>
            <w:r>
              <w:tab/>
              <w:t>Формирање породице и васпитање деце као фактори менталног здравња</w:t>
            </w:r>
          </w:p>
          <w:p w14:paraId="5950E0F3" w14:textId="77777777" w:rsidR="00873D8A" w:rsidRDefault="00000000">
            <w:pPr>
              <w:tabs>
                <w:tab w:val="left" w:pos="567"/>
              </w:tabs>
              <w:ind w:left="0" w:hanging="2"/>
            </w:pPr>
            <w:r>
              <w:t>13.</w:t>
            </w:r>
            <w:r>
              <w:tab/>
              <w:t>Породичне релације и психолошка подршка родитељима у одржавању менталног здравља</w:t>
            </w:r>
          </w:p>
          <w:p w14:paraId="0ED2B0B5" w14:textId="77777777" w:rsidR="00873D8A" w:rsidRDefault="00000000">
            <w:pPr>
              <w:tabs>
                <w:tab w:val="left" w:pos="567"/>
              </w:tabs>
              <w:ind w:left="0" w:hanging="2"/>
            </w:pPr>
            <w:r>
              <w:t>14.</w:t>
            </w:r>
            <w:r>
              <w:tab/>
              <w:t>Дете са тешкоћама у развоју и његова породица</w:t>
            </w:r>
          </w:p>
          <w:p w14:paraId="43D1CED8" w14:textId="77777777" w:rsidR="00873D8A" w:rsidRDefault="00000000">
            <w:pPr>
              <w:tabs>
                <w:tab w:val="left" w:pos="567"/>
              </w:tabs>
              <w:ind w:left="0" w:hanging="2"/>
            </w:pPr>
            <w:r>
              <w:t>15.</w:t>
            </w:r>
            <w:r>
              <w:tab/>
              <w:t>Траума и емоционални опоравак</w:t>
            </w:r>
          </w:p>
          <w:p w14:paraId="62F90C0F" w14:textId="77777777" w:rsidR="00873D8A" w:rsidRDefault="00000000">
            <w:pPr>
              <w:tabs>
                <w:tab w:val="left" w:pos="567"/>
              </w:tabs>
              <w:spacing w:after="60"/>
              <w:ind w:left="0" w:hanging="2"/>
            </w:pPr>
            <w:r>
              <w:rPr>
                <w:i/>
              </w:rPr>
              <w:t xml:space="preserve">Практична настава </w:t>
            </w:r>
          </w:p>
          <w:p w14:paraId="07508241" w14:textId="77777777" w:rsidR="00873D8A" w:rsidRDefault="00000000">
            <w:pPr>
              <w:tabs>
                <w:tab w:val="left" w:pos="567"/>
              </w:tabs>
              <w:spacing w:after="60"/>
              <w:ind w:left="0" w:hanging="2"/>
              <w:jc w:val="both"/>
            </w:pPr>
            <w:r>
              <w:t>Теренске посете институцијама релевантним за проблем менталног здравља допринеће да студенти стекну увид у практичне проблеме које курс теоријски обухвата. Ова сазнања даће могућност студентима да самостално или у групи осмисле програм превенције (примарне, секундарне или терцијарне) за било коју од тема покривених практичном наставом. Тиме се стичу базичне вештине заштите менталног здравља које не покривају само уско стручну област психолога и других стручних сарадника, кроз психолошко-педагошке стратегије у посредном и непосредном решавању проблема менталног здравља.</w:t>
            </w:r>
          </w:p>
        </w:tc>
      </w:tr>
      <w:tr w:rsidR="00873D8A" w14:paraId="3EB08A68" w14:textId="77777777">
        <w:trPr>
          <w:trHeight w:val="227"/>
          <w:jc w:val="center"/>
        </w:trPr>
        <w:tc>
          <w:tcPr>
            <w:tcW w:w="10103" w:type="dxa"/>
            <w:gridSpan w:val="5"/>
            <w:vAlign w:val="center"/>
          </w:tcPr>
          <w:p w14:paraId="7463D50F" w14:textId="77777777" w:rsidR="00873D8A" w:rsidRDefault="00000000">
            <w:pPr>
              <w:tabs>
                <w:tab w:val="left" w:pos="567"/>
              </w:tabs>
              <w:spacing w:after="60"/>
              <w:ind w:left="0" w:hanging="2"/>
            </w:pPr>
            <w:r>
              <w:rPr>
                <w:b/>
              </w:rPr>
              <w:t xml:space="preserve">Литература </w:t>
            </w:r>
          </w:p>
          <w:p w14:paraId="34F18920" w14:textId="77777777" w:rsidR="00873D8A" w:rsidRDefault="00000000">
            <w:pPr>
              <w:tabs>
                <w:tab w:val="left" w:pos="567"/>
              </w:tabs>
              <w:spacing w:after="60"/>
              <w:ind w:left="0" w:hanging="2"/>
            </w:pPr>
            <w:r>
              <w:rPr>
                <w:b/>
              </w:rPr>
              <w:t>Обавезна:</w:t>
            </w:r>
          </w:p>
          <w:p w14:paraId="31266106" w14:textId="4094280B" w:rsidR="00873D8A" w:rsidRDefault="00000000">
            <w:pPr>
              <w:tabs>
                <w:tab w:val="left" w:pos="567"/>
              </w:tabs>
              <w:ind w:left="0" w:hanging="2"/>
            </w:pPr>
            <w:r>
              <w:t xml:space="preserve">Влајковић Јелена (2001). </w:t>
            </w:r>
            <w:r>
              <w:rPr>
                <w:i/>
              </w:rPr>
              <w:t>Теорија и пракса менталне хигијене.</w:t>
            </w:r>
            <w:r>
              <w:t xml:space="preserve"> Београд: ЦПД. (26-</w:t>
            </w:r>
            <w:r w:rsidR="005A1C63" w:rsidRPr="005A1C63">
              <w:rPr>
                <w:color w:val="EE0000"/>
              </w:rPr>
              <w:t>95</w:t>
            </w:r>
            <w:r>
              <w:t>)</w:t>
            </w:r>
            <w:r w:rsidR="005A1C63">
              <w:t xml:space="preserve"> </w:t>
            </w:r>
          </w:p>
          <w:p w14:paraId="2864F933" w14:textId="670832DD" w:rsidR="00873D8A" w:rsidRDefault="00000000">
            <w:pPr>
              <w:tabs>
                <w:tab w:val="left" w:pos="567"/>
              </w:tabs>
              <w:ind w:left="0" w:hanging="2"/>
            </w:pPr>
            <w:r>
              <w:t xml:space="preserve">Петровић, Весна (2009). </w:t>
            </w:r>
            <w:r>
              <w:rPr>
                <w:i/>
              </w:rPr>
              <w:t>Изазови менталног здравља</w:t>
            </w:r>
            <w:r>
              <w:t>. Нови Сад: УСЕЕ и Прометеј. (15-32,</w:t>
            </w:r>
            <w:r w:rsidR="004A2958">
              <w:rPr>
                <w:lang w:val="sr-Cyrl-RS"/>
              </w:rPr>
              <w:t xml:space="preserve"> </w:t>
            </w:r>
            <w:r w:rsidR="004A2958" w:rsidRPr="006953DC">
              <w:rPr>
                <w:color w:val="EE0000"/>
              </w:rPr>
              <w:t>95-99, 131-144, 151-164, 188-198</w:t>
            </w:r>
            <w:r>
              <w:t>)</w:t>
            </w:r>
            <w:r w:rsidR="005A1C63">
              <w:t xml:space="preserve"> </w:t>
            </w:r>
          </w:p>
          <w:p w14:paraId="44B8E115" w14:textId="1E57F155" w:rsidR="00873D8A" w:rsidRDefault="00000000">
            <w:pPr>
              <w:tabs>
                <w:tab w:val="left" w:pos="567"/>
              </w:tabs>
              <w:ind w:left="0" w:hanging="2"/>
              <w:rPr>
                <w:lang w:val="sr-Cyrl-RS"/>
              </w:rPr>
            </w:pPr>
            <w:r>
              <w:t xml:space="preserve">Големан, Данијел (2001). </w:t>
            </w:r>
            <w:r>
              <w:rPr>
                <w:i/>
              </w:rPr>
              <w:t>Емоционална интелигенција</w:t>
            </w:r>
            <w:r>
              <w:t>. Београд: Геопоетика. (</w:t>
            </w:r>
            <w:r w:rsidRPr="00984E05">
              <w:rPr>
                <w:color w:val="000000" w:themeColor="text1"/>
              </w:rPr>
              <w:t>54-7</w:t>
            </w:r>
            <w:r w:rsidR="00984E05" w:rsidRPr="00984E05">
              <w:rPr>
                <w:color w:val="000000" w:themeColor="text1"/>
              </w:rPr>
              <w:t>6</w:t>
            </w:r>
            <w:r w:rsidRPr="00984E05">
              <w:rPr>
                <w:color w:val="000000" w:themeColor="text1"/>
              </w:rPr>
              <w:t>,</w:t>
            </w:r>
            <w:r w:rsidR="005A1C63" w:rsidRPr="00984E05">
              <w:rPr>
                <w:color w:val="000000" w:themeColor="text1"/>
              </w:rPr>
              <w:t xml:space="preserve"> </w:t>
            </w:r>
            <w:r w:rsidR="005A1C63" w:rsidRPr="005A1C63">
              <w:rPr>
                <w:color w:val="EE0000"/>
              </w:rPr>
              <w:t>93 -106</w:t>
            </w:r>
            <w:r w:rsidR="005A1C63">
              <w:t>,</w:t>
            </w:r>
            <w:r>
              <w:t xml:space="preserve"> 179-201)</w:t>
            </w:r>
            <w:r w:rsidR="005A1C63">
              <w:t xml:space="preserve"> </w:t>
            </w:r>
          </w:p>
          <w:p w14:paraId="4373DAAE" w14:textId="04EFA55D" w:rsidR="004A2958" w:rsidRPr="006953DC" w:rsidRDefault="004A2958">
            <w:pPr>
              <w:tabs>
                <w:tab w:val="left" w:pos="567"/>
              </w:tabs>
              <w:ind w:left="0" w:hanging="2"/>
              <w:rPr>
                <w:color w:val="EE0000"/>
                <w:lang w:val="sr-Cyrl-RS"/>
              </w:rPr>
            </w:pPr>
            <w:r w:rsidRPr="006953DC">
              <w:rPr>
                <w:color w:val="EE0000"/>
              </w:rPr>
              <w:t xml:space="preserve">Станојевић, Драгана (2019). </w:t>
            </w:r>
            <w:r w:rsidRPr="006953DC">
              <w:rPr>
                <w:i/>
                <w:color w:val="EE0000"/>
              </w:rPr>
              <w:t xml:space="preserve">Савремени модели менталног здравља – од одуства патологије до менталног </w:t>
            </w:r>
            <w:r w:rsidR="005A1C63">
              <w:rPr>
                <w:i/>
                <w:color w:val="EE0000"/>
              </w:rPr>
              <w:t xml:space="preserve"> </w:t>
            </w:r>
            <w:r w:rsidRPr="006953DC">
              <w:rPr>
                <w:i/>
                <w:color w:val="EE0000"/>
              </w:rPr>
              <w:lastRenderedPageBreak/>
              <w:t>здравља.</w:t>
            </w:r>
            <w:r w:rsidRPr="006953DC">
              <w:rPr>
                <w:color w:val="EE0000"/>
              </w:rPr>
              <w:t xml:space="preserve"> Филозофски факултет Универзитета у Приштини (</w:t>
            </w:r>
            <w:r w:rsidRPr="006953DC">
              <w:rPr>
                <w:color w:val="EE0000"/>
                <w:lang w:val="sr-Cyrl-RS"/>
              </w:rPr>
              <w:t>22</w:t>
            </w:r>
            <w:r w:rsidRPr="006953DC">
              <w:rPr>
                <w:color w:val="EE0000"/>
              </w:rPr>
              <w:t>-</w:t>
            </w:r>
            <w:r w:rsidRPr="006953DC">
              <w:rPr>
                <w:color w:val="EE0000"/>
                <w:lang w:val="sr-Cyrl-RS"/>
              </w:rPr>
              <w:t>27</w:t>
            </w:r>
            <w:r w:rsidRPr="006953DC">
              <w:rPr>
                <w:color w:val="EE0000"/>
              </w:rPr>
              <w:t>)</w:t>
            </w:r>
            <w:r w:rsidR="005A1C63">
              <w:rPr>
                <w:color w:val="EE0000"/>
              </w:rPr>
              <w:t xml:space="preserve"> </w:t>
            </w:r>
          </w:p>
          <w:p w14:paraId="039FCE61" w14:textId="77777777" w:rsidR="00873D8A" w:rsidRDefault="00000000">
            <w:pPr>
              <w:tabs>
                <w:tab w:val="left" w:pos="567"/>
              </w:tabs>
              <w:ind w:left="0" w:hanging="2"/>
            </w:pPr>
            <w:r>
              <w:t>Додатна:</w:t>
            </w:r>
          </w:p>
          <w:p w14:paraId="24BD1A5C" w14:textId="407E098A" w:rsidR="00873D8A" w:rsidRDefault="00000000">
            <w:pPr>
              <w:tabs>
                <w:tab w:val="left" w:pos="567"/>
              </w:tabs>
              <w:ind w:left="0" w:hanging="2"/>
              <w:jc w:val="both"/>
            </w:pPr>
            <w:r>
              <w:t xml:space="preserve">Станојевић, Драгана (2019). </w:t>
            </w:r>
            <w:r>
              <w:rPr>
                <w:i/>
              </w:rPr>
              <w:t>Савремени модели менталног здравља – од одуства патологије до менталног здравља.</w:t>
            </w:r>
            <w:r>
              <w:t xml:space="preserve"> Филозофски факултет Универзитета у Приштини (11</w:t>
            </w:r>
            <w:r w:rsidR="004A2958">
              <w:rPr>
                <w:lang w:val="sr-Cyrl-RS"/>
              </w:rPr>
              <w:t>-22, 27</w:t>
            </w:r>
            <w:r>
              <w:t>-72)</w:t>
            </w:r>
          </w:p>
          <w:p w14:paraId="05A8FAF7" w14:textId="77777777" w:rsidR="00873D8A" w:rsidRDefault="00000000">
            <w:pPr>
              <w:tabs>
                <w:tab w:val="left" w:pos="567"/>
              </w:tabs>
              <w:ind w:left="0" w:hanging="2"/>
            </w:pPr>
            <w:r>
              <w:t xml:space="preserve">Влајковић Јелена (2005). </w:t>
            </w:r>
            <w:r>
              <w:rPr>
                <w:i/>
              </w:rPr>
              <w:t>Животне кризе</w:t>
            </w:r>
            <w:r>
              <w:t>. Београд: Жарко Албуљ. (52-109)</w:t>
            </w:r>
          </w:p>
        </w:tc>
      </w:tr>
      <w:tr w:rsidR="00873D8A" w14:paraId="78D61BDE" w14:textId="77777777">
        <w:trPr>
          <w:trHeight w:val="227"/>
          <w:jc w:val="center"/>
        </w:trPr>
        <w:tc>
          <w:tcPr>
            <w:tcW w:w="3146" w:type="dxa"/>
            <w:vAlign w:val="center"/>
          </w:tcPr>
          <w:p w14:paraId="15BA85DC" w14:textId="77777777" w:rsidR="00873D8A" w:rsidRDefault="00000000">
            <w:pPr>
              <w:tabs>
                <w:tab w:val="left" w:pos="567"/>
              </w:tabs>
              <w:spacing w:after="60"/>
              <w:ind w:left="0" w:hanging="2"/>
            </w:pPr>
            <w:r>
              <w:rPr>
                <w:b/>
              </w:rPr>
              <w:lastRenderedPageBreak/>
              <w:t>Број часова  активне наставе</w:t>
            </w:r>
          </w:p>
        </w:tc>
        <w:tc>
          <w:tcPr>
            <w:tcW w:w="3135" w:type="dxa"/>
            <w:gridSpan w:val="2"/>
            <w:vAlign w:val="center"/>
          </w:tcPr>
          <w:p w14:paraId="2FAE06BD" w14:textId="77777777" w:rsidR="00873D8A" w:rsidRDefault="00000000">
            <w:pPr>
              <w:tabs>
                <w:tab w:val="left" w:pos="567"/>
              </w:tabs>
              <w:spacing w:after="60"/>
              <w:ind w:left="0" w:hanging="2"/>
            </w:pPr>
            <w:r>
              <w:rPr>
                <w:b/>
              </w:rPr>
              <w:t>Теоријска настава: 2</w:t>
            </w:r>
          </w:p>
        </w:tc>
        <w:tc>
          <w:tcPr>
            <w:tcW w:w="3822" w:type="dxa"/>
            <w:gridSpan w:val="2"/>
            <w:vAlign w:val="center"/>
          </w:tcPr>
          <w:p w14:paraId="424554E1" w14:textId="77777777" w:rsidR="00873D8A" w:rsidRDefault="00000000">
            <w:pPr>
              <w:tabs>
                <w:tab w:val="left" w:pos="567"/>
              </w:tabs>
              <w:spacing w:after="60"/>
              <w:ind w:left="0" w:hanging="2"/>
            </w:pPr>
            <w:r>
              <w:rPr>
                <w:b/>
              </w:rPr>
              <w:t>Практична настава: 2</w:t>
            </w:r>
          </w:p>
        </w:tc>
      </w:tr>
      <w:tr w:rsidR="00873D8A" w14:paraId="7A2AF34E" w14:textId="77777777">
        <w:trPr>
          <w:trHeight w:val="227"/>
          <w:jc w:val="center"/>
        </w:trPr>
        <w:tc>
          <w:tcPr>
            <w:tcW w:w="10103" w:type="dxa"/>
            <w:gridSpan w:val="5"/>
            <w:vAlign w:val="center"/>
          </w:tcPr>
          <w:p w14:paraId="48F81593" w14:textId="77777777" w:rsidR="00873D8A" w:rsidRDefault="00000000">
            <w:pPr>
              <w:tabs>
                <w:tab w:val="left" w:pos="567"/>
              </w:tabs>
              <w:spacing w:after="60"/>
              <w:ind w:left="0" w:hanging="2"/>
            </w:pPr>
            <w:r>
              <w:rPr>
                <w:b/>
              </w:rPr>
              <w:t>Методе извођења наставе</w:t>
            </w:r>
          </w:p>
          <w:p w14:paraId="7060810A" w14:textId="77777777" w:rsidR="00873D8A" w:rsidRDefault="00000000">
            <w:pPr>
              <w:tabs>
                <w:tab w:val="left" w:pos="567"/>
              </w:tabs>
              <w:spacing w:after="60"/>
              <w:ind w:left="0" w:hanging="2"/>
            </w:pPr>
            <w:r>
              <w:t xml:space="preserve">Интерактивна настава. </w:t>
            </w:r>
          </w:p>
          <w:p w14:paraId="41435844" w14:textId="77777777" w:rsidR="00873D8A" w:rsidRDefault="00000000">
            <w:pPr>
              <w:tabs>
                <w:tab w:val="left" w:pos="567"/>
              </w:tabs>
              <w:spacing w:after="60"/>
              <w:ind w:left="0" w:hanging="2"/>
            </w:pPr>
            <w:r>
              <w:t xml:space="preserve">Дискусионе групе. </w:t>
            </w:r>
          </w:p>
          <w:p w14:paraId="4F9DF774" w14:textId="77777777" w:rsidR="00873D8A" w:rsidRDefault="00000000">
            <w:pPr>
              <w:tabs>
                <w:tab w:val="left" w:pos="567"/>
              </w:tabs>
              <w:spacing w:after="60"/>
              <w:ind w:left="0" w:hanging="2"/>
            </w:pPr>
            <w:r>
              <w:t>Креирање превентивних програма за заштиту  менталног здравља и њихово представљање у групи.</w:t>
            </w:r>
          </w:p>
        </w:tc>
      </w:tr>
      <w:tr w:rsidR="00873D8A" w14:paraId="0AB28262" w14:textId="77777777">
        <w:trPr>
          <w:trHeight w:val="227"/>
          <w:jc w:val="center"/>
        </w:trPr>
        <w:tc>
          <w:tcPr>
            <w:tcW w:w="10103" w:type="dxa"/>
            <w:gridSpan w:val="5"/>
            <w:vAlign w:val="center"/>
          </w:tcPr>
          <w:p w14:paraId="5CC4F331" w14:textId="77777777" w:rsidR="00873D8A" w:rsidRDefault="00000000">
            <w:pPr>
              <w:tabs>
                <w:tab w:val="left" w:pos="567"/>
              </w:tabs>
              <w:spacing w:after="60"/>
              <w:ind w:left="0" w:hanging="2"/>
            </w:pPr>
            <w:r>
              <w:rPr>
                <w:b/>
              </w:rPr>
              <w:t>Оцена знања (максимални број поена 100)</w:t>
            </w:r>
          </w:p>
        </w:tc>
      </w:tr>
      <w:tr w:rsidR="00873D8A" w14:paraId="0865563C" w14:textId="77777777">
        <w:trPr>
          <w:trHeight w:val="227"/>
          <w:jc w:val="center"/>
        </w:trPr>
        <w:tc>
          <w:tcPr>
            <w:tcW w:w="3146" w:type="dxa"/>
            <w:vAlign w:val="center"/>
          </w:tcPr>
          <w:p w14:paraId="7D40AC6F" w14:textId="77777777" w:rsidR="00873D8A" w:rsidRDefault="00000000">
            <w:pPr>
              <w:tabs>
                <w:tab w:val="left" w:pos="567"/>
              </w:tabs>
              <w:spacing w:after="60"/>
              <w:ind w:left="0" w:hanging="2"/>
            </w:pPr>
            <w:r>
              <w:rPr>
                <w:b/>
              </w:rPr>
              <w:t>Предиспитне обавезе</w:t>
            </w:r>
          </w:p>
        </w:tc>
        <w:tc>
          <w:tcPr>
            <w:tcW w:w="1960" w:type="dxa"/>
            <w:vAlign w:val="center"/>
          </w:tcPr>
          <w:p w14:paraId="35241F6D" w14:textId="77777777" w:rsidR="00873D8A" w:rsidRDefault="00873D8A">
            <w:pPr>
              <w:tabs>
                <w:tab w:val="left" w:pos="567"/>
              </w:tabs>
              <w:spacing w:after="60"/>
              <w:ind w:left="0" w:hanging="2"/>
              <w:jc w:val="center"/>
            </w:pPr>
          </w:p>
          <w:p w14:paraId="45D6713D" w14:textId="77777777" w:rsidR="00873D8A" w:rsidRDefault="00000000">
            <w:pPr>
              <w:tabs>
                <w:tab w:val="left" w:pos="567"/>
              </w:tabs>
              <w:spacing w:after="60"/>
              <w:ind w:left="0" w:hanging="2"/>
              <w:jc w:val="center"/>
            </w:pPr>
            <w:r>
              <w:t>поена</w:t>
            </w:r>
          </w:p>
          <w:p w14:paraId="4EC3066E" w14:textId="77777777" w:rsidR="00873D8A" w:rsidRDefault="00873D8A">
            <w:pPr>
              <w:tabs>
                <w:tab w:val="left" w:pos="567"/>
              </w:tabs>
              <w:spacing w:after="60"/>
              <w:ind w:left="0" w:hanging="2"/>
              <w:jc w:val="center"/>
            </w:pPr>
          </w:p>
        </w:tc>
        <w:tc>
          <w:tcPr>
            <w:tcW w:w="3223" w:type="dxa"/>
            <w:gridSpan w:val="2"/>
            <w:vAlign w:val="center"/>
          </w:tcPr>
          <w:p w14:paraId="2ADA7890" w14:textId="77777777" w:rsidR="00873D8A" w:rsidRDefault="00000000">
            <w:pPr>
              <w:tabs>
                <w:tab w:val="left" w:pos="567"/>
              </w:tabs>
              <w:spacing w:after="60"/>
              <w:ind w:left="0" w:hanging="2"/>
            </w:pPr>
            <w:r>
              <w:rPr>
                <w:b/>
              </w:rPr>
              <w:t xml:space="preserve">Завршни испит </w:t>
            </w:r>
          </w:p>
        </w:tc>
        <w:tc>
          <w:tcPr>
            <w:tcW w:w="1774" w:type="dxa"/>
            <w:vAlign w:val="center"/>
          </w:tcPr>
          <w:p w14:paraId="1A4FF48C" w14:textId="77777777" w:rsidR="00873D8A" w:rsidRDefault="00000000">
            <w:pPr>
              <w:tabs>
                <w:tab w:val="left" w:pos="567"/>
              </w:tabs>
              <w:spacing w:after="60"/>
              <w:ind w:left="0" w:hanging="2"/>
              <w:jc w:val="center"/>
            </w:pPr>
            <w:r>
              <w:t>поена</w:t>
            </w:r>
          </w:p>
        </w:tc>
      </w:tr>
      <w:tr w:rsidR="00B11A6C" w14:paraId="0CD9EDC3" w14:textId="77777777">
        <w:trPr>
          <w:trHeight w:val="227"/>
          <w:jc w:val="center"/>
        </w:trPr>
        <w:tc>
          <w:tcPr>
            <w:tcW w:w="3146" w:type="dxa"/>
            <w:vAlign w:val="center"/>
          </w:tcPr>
          <w:p w14:paraId="32A9F831" w14:textId="56F9C38A" w:rsidR="00B11A6C" w:rsidRDefault="00B11A6C" w:rsidP="00B11A6C">
            <w:pPr>
              <w:tabs>
                <w:tab w:val="left" w:pos="567"/>
              </w:tabs>
              <w:spacing w:after="60"/>
              <w:ind w:left="0" w:hanging="2"/>
            </w:pPr>
            <w:r>
              <w:rPr>
                <w:color w:val="000000"/>
              </w:rPr>
              <w:t>активност у току предавања</w:t>
            </w:r>
          </w:p>
        </w:tc>
        <w:tc>
          <w:tcPr>
            <w:tcW w:w="1960" w:type="dxa"/>
            <w:vAlign w:val="center"/>
          </w:tcPr>
          <w:p w14:paraId="3DA332B6" w14:textId="1D921B96" w:rsidR="00B11A6C" w:rsidRPr="00B20A55" w:rsidRDefault="00B11A6C" w:rsidP="00B11A6C">
            <w:pPr>
              <w:tabs>
                <w:tab w:val="left" w:pos="567"/>
              </w:tabs>
              <w:spacing w:after="60"/>
              <w:ind w:left="0" w:hanging="2"/>
              <w:jc w:val="center"/>
              <w:rPr>
                <w:highlight w:val="yellow"/>
                <w:lang w:val="sr-Cyrl-RS"/>
              </w:rPr>
            </w:pPr>
            <w:r>
              <w:rPr>
                <w:b/>
                <w:bCs/>
                <w:color w:val="000000"/>
              </w:rPr>
              <w:t>5</w:t>
            </w:r>
          </w:p>
        </w:tc>
        <w:tc>
          <w:tcPr>
            <w:tcW w:w="3223" w:type="dxa"/>
            <w:gridSpan w:val="2"/>
            <w:vAlign w:val="center"/>
          </w:tcPr>
          <w:p w14:paraId="38DD51D3" w14:textId="1F509461" w:rsidR="00B11A6C" w:rsidRDefault="00B11A6C" w:rsidP="00B11A6C">
            <w:pPr>
              <w:tabs>
                <w:tab w:val="left" w:pos="567"/>
              </w:tabs>
              <w:spacing w:after="60"/>
              <w:ind w:left="0" w:hanging="2"/>
            </w:pPr>
            <w:r>
              <w:rPr>
                <w:color w:val="000000"/>
              </w:rPr>
              <w:t>писмени испит</w:t>
            </w:r>
          </w:p>
        </w:tc>
        <w:tc>
          <w:tcPr>
            <w:tcW w:w="1774" w:type="dxa"/>
            <w:vAlign w:val="center"/>
          </w:tcPr>
          <w:p w14:paraId="1D98E019" w14:textId="01F29653" w:rsidR="00B11A6C" w:rsidRDefault="00B11A6C" w:rsidP="00B11A6C">
            <w:pPr>
              <w:tabs>
                <w:tab w:val="left" w:pos="567"/>
              </w:tabs>
              <w:spacing w:after="60"/>
              <w:ind w:left="0" w:hanging="2"/>
              <w:jc w:val="center"/>
            </w:pPr>
            <w:r>
              <w:rPr>
                <w:b/>
                <w:bCs/>
                <w:color w:val="000000"/>
              </w:rPr>
              <w:t>30</w:t>
            </w:r>
          </w:p>
        </w:tc>
      </w:tr>
      <w:tr w:rsidR="00B11A6C" w14:paraId="6A564ABE" w14:textId="77777777">
        <w:trPr>
          <w:trHeight w:val="227"/>
          <w:jc w:val="center"/>
        </w:trPr>
        <w:tc>
          <w:tcPr>
            <w:tcW w:w="3146" w:type="dxa"/>
            <w:vAlign w:val="center"/>
          </w:tcPr>
          <w:p w14:paraId="02D9DEF9" w14:textId="093912C7" w:rsidR="00B11A6C" w:rsidRDefault="00B11A6C" w:rsidP="00B11A6C">
            <w:pPr>
              <w:tabs>
                <w:tab w:val="left" w:pos="567"/>
              </w:tabs>
              <w:spacing w:after="60"/>
              <w:ind w:left="0" w:hanging="2"/>
            </w:pPr>
            <w:r>
              <w:rPr>
                <w:color w:val="000000"/>
              </w:rPr>
              <w:t>практична настава</w:t>
            </w:r>
          </w:p>
        </w:tc>
        <w:tc>
          <w:tcPr>
            <w:tcW w:w="1960" w:type="dxa"/>
            <w:vAlign w:val="center"/>
          </w:tcPr>
          <w:p w14:paraId="7B4B9733" w14:textId="6D920221" w:rsidR="00B11A6C" w:rsidRPr="00B20A55" w:rsidRDefault="00B11A6C" w:rsidP="00B11A6C">
            <w:pPr>
              <w:tabs>
                <w:tab w:val="left" w:pos="567"/>
              </w:tabs>
              <w:spacing w:after="60"/>
              <w:ind w:left="0" w:hanging="2"/>
              <w:jc w:val="center"/>
              <w:rPr>
                <w:b/>
                <w:highlight w:val="yellow"/>
                <w:lang w:val="sr-Cyrl-RS"/>
              </w:rPr>
            </w:pPr>
            <w:r>
              <w:rPr>
                <w:b/>
                <w:bCs/>
                <w:color w:val="000000"/>
              </w:rPr>
              <w:t>5</w:t>
            </w:r>
          </w:p>
        </w:tc>
        <w:tc>
          <w:tcPr>
            <w:tcW w:w="3223" w:type="dxa"/>
            <w:gridSpan w:val="2"/>
            <w:vAlign w:val="center"/>
          </w:tcPr>
          <w:p w14:paraId="1DF467D5" w14:textId="77A7C775" w:rsidR="00B11A6C" w:rsidRDefault="00B11A6C" w:rsidP="00B11A6C">
            <w:pPr>
              <w:tabs>
                <w:tab w:val="left" w:pos="567"/>
              </w:tabs>
              <w:spacing w:after="60"/>
              <w:ind w:left="0" w:hanging="2"/>
            </w:pPr>
            <w:r>
              <w:rPr>
                <w:color w:val="000000"/>
              </w:rPr>
              <w:t>усмени исп</w:t>
            </w:r>
            <w:r w:rsidR="00984E05">
              <w:rPr>
                <w:color w:val="000000"/>
                <w:lang w:val="sr-Cyrl-RS"/>
              </w:rPr>
              <w:t>и</w:t>
            </w:r>
            <w:r>
              <w:rPr>
                <w:color w:val="000000"/>
              </w:rPr>
              <w:t>т</w:t>
            </w:r>
          </w:p>
        </w:tc>
        <w:tc>
          <w:tcPr>
            <w:tcW w:w="1774" w:type="dxa"/>
            <w:vAlign w:val="center"/>
          </w:tcPr>
          <w:p w14:paraId="44401AF0" w14:textId="3824755F" w:rsidR="00B11A6C" w:rsidRPr="00B20A55" w:rsidRDefault="00B11A6C" w:rsidP="00B11A6C">
            <w:pPr>
              <w:tabs>
                <w:tab w:val="left" w:pos="567"/>
              </w:tabs>
              <w:spacing w:after="60"/>
              <w:ind w:left="0" w:hanging="2"/>
              <w:jc w:val="center"/>
              <w:rPr>
                <w:b/>
                <w:highlight w:val="yellow"/>
                <w:lang w:val="sr-Cyrl-RS"/>
              </w:rPr>
            </w:pPr>
            <w:r>
              <w:rPr>
                <w:b/>
                <w:bCs/>
                <w:color w:val="000000"/>
              </w:rPr>
              <w:t>30</w:t>
            </w:r>
          </w:p>
        </w:tc>
      </w:tr>
      <w:tr w:rsidR="00B11A6C" w14:paraId="33A459E0" w14:textId="77777777">
        <w:trPr>
          <w:trHeight w:val="227"/>
          <w:jc w:val="center"/>
        </w:trPr>
        <w:tc>
          <w:tcPr>
            <w:tcW w:w="3146" w:type="dxa"/>
            <w:vAlign w:val="center"/>
          </w:tcPr>
          <w:p w14:paraId="352AAA2C" w14:textId="6A131772" w:rsidR="00B11A6C" w:rsidRDefault="00B11A6C" w:rsidP="00B11A6C">
            <w:pPr>
              <w:tabs>
                <w:tab w:val="left" w:pos="567"/>
              </w:tabs>
              <w:spacing w:after="60"/>
              <w:ind w:left="0" w:hanging="2"/>
            </w:pPr>
            <w:r>
              <w:rPr>
                <w:color w:val="000000"/>
              </w:rPr>
              <w:t>колоквијум-и</w:t>
            </w:r>
          </w:p>
        </w:tc>
        <w:tc>
          <w:tcPr>
            <w:tcW w:w="1960" w:type="dxa"/>
            <w:vAlign w:val="center"/>
          </w:tcPr>
          <w:p w14:paraId="40CF176D" w14:textId="75B2545F" w:rsidR="00B11A6C" w:rsidRPr="00B20A55" w:rsidRDefault="00B11A6C" w:rsidP="00B11A6C">
            <w:pPr>
              <w:tabs>
                <w:tab w:val="left" w:pos="567"/>
              </w:tabs>
              <w:spacing w:after="60"/>
              <w:ind w:left="0" w:hanging="2"/>
              <w:jc w:val="center"/>
              <w:rPr>
                <w:highlight w:val="yellow"/>
                <w:lang w:val="sr-Cyrl-RS"/>
              </w:rPr>
            </w:pPr>
            <w:r>
              <w:rPr>
                <w:b/>
                <w:bCs/>
                <w:color w:val="000000"/>
              </w:rPr>
              <w:t>20</w:t>
            </w:r>
          </w:p>
        </w:tc>
        <w:tc>
          <w:tcPr>
            <w:tcW w:w="3223" w:type="dxa"/>
            <w:gridSpan w:val="2"/>
            <w:vAlign w:val="center"/>
          </w:tcPr>
          <w:p w14:paraId="63C28856" w14:textId="77777777" w:rsidR="00B11A6C" w:rsidRDefault="00B11A6C" w:rsidP="00B11A6C">
            <w:pPr>
              <w:tabs>
                <w:tab w:val="left" w:pos="567"/>
              </w:tabs>
              <w:spacing w:after="60"/>
              <w:ind w:left="0" w:hanging="2"/>
            </w:pPr>
          </w:p>
        </w:tc>
        <w:tc>
          <w:tcPr>
            <w:tcW w:w="1774" w:type="dxa"/>
            <w:vAlign w:val="center"/>
          </w:tcPr>
          <w:p w14:paraId="38F53FFB" w14:textId="77777777" w:rsidR="00B11A6C" w:rsidRDefault="00B11A6C" w:rsidP="00B11A6C">
            <w:pPr>
              <w:tabs>
                <w:tab w:val="left" w:pos="567"/>
              </w:tabs>
              <w:spacing w:after="60"/>
              <w:ind w:left="0" w:hanging="2"/>
            </w:pPr>
          </w:p>
        </w:tc>
      </w:tr>
      <w:tr w:rsidR="00B11A6C" w14:paraId="03E72EC0" w14:textId="77777777">
        <w:trPr>
          <w:trHeight w:val="227"/>
          <w:jc w:val="center"/>
        </w:trPr>
        <w:tc>
          <w:tcPr>
            <w:tcW w:w="3146" w:type="dxa"/>
            <w:vAlign w:val="center"/>
          </w:tcPr>
          <w:p w14:paraId="4318AA1C" w14:textId="3881E652" w:rsidR="00B11A6C" w:rsidRPr="00E31D70" w:rsidRDefault="00B11A6C" w:rsidP="00B11A6C">
            <w:pPr>
              <w:tabs>
                <w:tab w:val="left" w:pos="567"/>
              </w:tabs>
              <w:spacing w:after="60"/>
              <w:ind w:left="0" w:hanging="2"/>
              <w:rPr>
                <w:lang w:val="sr-Cyrl-RS"/>
              </w:rPr>
            </w:pPr>
            <w:r>
              <w:rPr>
                <w:color w:val="000000"/>
              </w:rPr>
              <w:t>семинар-и</w:t>
            </w:r>
          </w:p>
        </w:tc>
        <w:tc>
          <w:tcPr>
            <w:tcW w:w="1960" w:type="dxa"/>
            <w:vAlign w:val="center"/>
          </w:tcPr>
          <w:p w14:paraId="2442D5CE" w14:textId="0A394236" w:rsidR="00B11A6C" w:rsidRPr="00B20A55" w:rsidRDefault="00B11A6C" w:rsidP="00B11A6C">
            <w:pPr>
              <w:tabs>
                <w:tab w:val="left" w:pos="567"/>
              </w:tabs>
              <w:spacing w:after="60"/>
              <w:ind w:left="0" w:hanging="2"/>
              <w:jc w:val="center"/>
              <w:rPr>
                <w:highlight w:val="yellow"/>
                <w:lang w:val="sr-Cyrl-RS"/>
              </w:rPr>
            </w:pPr>
            <w:r>
              <w:rPr>
                <w:b/>
                <w:bCs/>
                <w:color w:val="000000"/>
              </w:rPr>
              <w:t>10</w:t>
            </w:r>
          </w:p>
        </w:tc>
        <w:tc>
          <w:tcPr>
            <w:tcW w:w="3223" w:type="dxa"/>
            <w:gridSpan w:val="2"/>
            <w:vAlign w:val="center"/>
          </w:tcPr>
          <w:p w14:paraId="33110D50" w14:textId="77777777" w:rsidR="00B11A6C" w:rsidRDefault="00B11A6C" w:rsidP="00B11A6C">
            <w:pPr>
              <w:tabs>
                <w:tab w:val="left" w:pos="567"/>
              </w:tabs>
              <w:spacing w:after="60"/>
              <w:ind w:left="0" w:hanging="2"/>
            </w:pPr>
          </w:p>
        </w:tc>
        <w:tc>
          <w:tcPr>
            <w:tcW w:w="1774" w:type="dxa"/>
            <w:vAlign w:val="center"/>
          </w:tcPr>
          <w:p w14:paraId="303888DC" w14:textId="77777777" w:rsidR="00B11A6C" w:rsidRDefault="00B11A6C" w:rsidP="00B11A6C">
            <w:pPr>
              <w:tabs>
                <w:tab w:val="left" w:pos="567"/>
              </w:tabs>
              <w:spacing w:after="60"/>
              <w:ind w:left="0" w:hanging="2"/>
            </w:pPr>
          </w:p>
        </w:tc>
      </w:tr>
    </w:tbl>
    <w:p w14:paraId="56F93286" w14:textId="77777777" w:rsidR="00873D8A" w:rsidRDefault="00873D8A">
      <w:pPr>
        <w:ind w:left="0" w:hanging="2"/>
        <w:jc w:val="center"/>
      </w:pPr>
    </w:p>
    <w:sectPr w:rsidR="00873D8A">
      <w:headerReference w:type="default" r:id="rId7"/>
      <w:footerReference w:type="default" r:id="rId8"/>
      <w:pgSz w:w="11907" w:h="16840"/>
      <w:pgMar w:top="2269" w:right="283" w:bottom="851" w:left="426" w:header="113"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55817" w14:textId="77777777" w:rsidR="00F45160" w:rsidRDefault="00F45160">
      <w:pPr>
        <w:spacing w:line="240" w:lineRule="auto"/>
        <w:ind w:left="0" w:hanging="2"/>
      </w:pPr>
      <w:r>
        <w:separator/>
      </w:r>
    </w:p>
  </w:endnote>
  <w:endnote w:type="continuationSeparator" w:id="0">
    <w:p w14:paraId="2919E6C1" w14:textId="77777777" w:rsidR="00F45160" w:rsidRDefault="00F4516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2EE25"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000000"/>
      </w:rPr>
    </w:pPr>
    <w:r>
      <w:rPr>
        <w:color w:val="000000"/>
      </w:rPr>
      <w:t>www.filfak.ni.ac.rs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8D5B4" w14:textId="77777777" w:rsidR="00F45160" w:rsidRDefault="00F45160">
      <w:pPr>
        <w:spacing w:line="240" w:lineRule="auto"/>
        <w:ind w:left="0" w:hanging="2"/>
      </w:pPr>
      <w:r>
        <w:separator/>
      </w:r>
    </w:p>
  </w:footnote>
  <w:footnote w:type="continuationSeparator" w:id="0">
    <w:p w14:paraId="3FF434E2" w14:textId="77777777" w:rsidR="00F45160" w:rsidRDefault="00F4516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61E2C" w14:textId="77777777" w:rsidR="00873D8A" w:rsidRDefault="00000000">
    <w:pPr>
      <w:pBdr>
        <w:top w:val="nil"/>
        <w:left w:val="nil"/>
        <w:bottom w:val="nil"/>
        <w:right w:val="nil"/>
        <w:between w:val="nil"/>
      </w:pBdr>
      <w:tabs>
        <w:tab w:val="center" w:pos="4320"/>
        <w:tab w:val="right" w:pos="8640"/>
      </w:tabs>
      <w:spacing w:line="240" w:lineRule="auto"/>
      <w:ind w:left="0" w:hanging="2"/>
      <w:rPr>
        <w:color w:val="000000"/>
      </w:rPr>
    </w:pPr>
    <w:r>
      <w:rPr>
        <w:color w:val="000000"/>
      </w:rPr>
      <w:t xml:space="preserve">         </w:t>
    </w:r>
  </w:p>
  <w:tbl>
    <w:tblPr>
      <w:tblStyle w:val="a0"/>
      <w:tblW w:w="96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4"/>
      <w:gridCol w:w="6354"/>
      <w:gridCol w:w="1670"/>
    </w:tblGrid>
    <w:tr w:rsidR="00873D8A" w14:paraId="52DDC212" w14:textId="77777777">
      <w:trPr>
        <w:cantSplit/>
        <w:trHeight w:val="367"/>
        <w:jc w:val="center"/>
      </w:trPr>
      <w:tc>
        <w:tcPr>
          <w:tcW w:w="1634" w:type="dxa"/>
          <w:vMerge w:val="restart"/>
          <w:vAlign w:val="center"/>
        </w:tcPr>
        <w:p w14:paraId="28F051C2"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000000"/>
            </w:rPr>
          </w:pPr>
          <w:r>
            <w:rPr>
              <w:noProof/>
              <w:color w:val="000000"/>
            </w:rPr>
            <w:drawing>
              <wp:inline distT="0" distB="0" distL="114300" distR="114300" wp14:anchorId="2102663C" wp14:editId="7418CD0E">
                <wp:extent cx="900430" cy="899795"/>
                <wp:effectExtent l="0" t="0" r="0" b="0"/>
                <wp:docPr id="10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00430" cy="899795"/>
                        </a:xfrm>
                        <a:prstGeom prst="rect">
                          <a:avLst/>
                        </a:prstGeom>
                        <a:ln/>
                      </pic:spPr>
                    </pic:pic>
                  </a:graphicData>
                </a:graphic>
              </wp:inline>
            </w:drawing>
          </w:r>
        </w:p>
      </w:tc>
      <w:tc>
        <w:tcPr>
          <w:tcW w:w="6354" w:type="dxa"/>
          <w:shd w:val="clear" w:color="auto" w:fill="FFFFFF"/>
          <w:vAlign w:val="center"/>
        </w:tcPr>
        <w:p w14:paraId="267D35CD"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333399"/>
              <w:sz w:val="24"/>
              <w:szCs w:val="24"/>
            </w:rPr>
          </w:pPr>
          <w:r>
            <w:rPr>
              <w:b/>
              <w:color w:val="333399"/>
              <w:sz w:val="24"/>
              <w:szCs w:val="24"/>
            </w:rPr>
            <w:t>Универзитет у Нишу</w:t>
          </w:r>
        </w:p>
        <w:p w14:paraId="2C85C766"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333399"/>
              <w:sz w:val="24"/>
              <w:szCs w:val="24"/>
            </w:rPr>
          </w:pPr>
          <w:r>
            <w:rPr>
              <w:b/>
              <w:color w:val="333399"/>
              <w:sz w:val="24"/>
              <w:szCs w:val="24"/>
            </w:rPr>
            <w:t>Филозофски факултет</w:t>
          </w:r>
        </w:p>
      </w:tc>
      <w:tc>
        <w:tcPr>
          <w:tcW w:w="1670" w:type="dxa"/>
          <w:vMerge w:val="restart"/>
          <w:vAlign w:val="center"/>
        </w:tcPr>
        <w:p w14:paraId="233F6A4D"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000000"/>
            </w:rPr>
          </w:pPr>
          <w:r>
            <w:rPr>
              <w:noProof/>
              <w:color w:val="000000"/>
            </w:rPr>
            <w:drawing>
              <wp:inline distT="0" distB="0" distL="114300" distR="114300" wp14:anchorId="767F9A4D" wp14:editId="184F84DF">
                <wp:extent cx="923290" cy="922020"/>
                <wp:effectExtent l="0" t="0" r="0" b="0"/>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23290" cy="922020"/>
                        </a:xfrm>
                        <a:prstGeom prst="rect">
                          <a:avLst/>
                        </a:prstGeom>
                        <a:ln/>
                      </pic:spPr>
                    </pic:pic>
                  </a:graphicData>
                </a:graphic>
              </wp:inline>
            </w:drawing>
          </w:r>
        </w:p>
      </w:tc>
    </w:tr>
    <w:tr w:rsidR="00873D8A" w14:paraId="57425280" w14:textId="77777777">
      <w:trPr>
        <w:cantSplit/>
        <w:trHeight w:val="467"/>
        <w:jc w:val="center"/>
      </w:trPr>
      <w:tc>
        <w:tcPr>
          <w:tcW w:w="1634" w:type="dxa"/>
          <w:vMerge/>
          <w:vAlign w:val="center"/>
        </w:tcPr>
        <w:p w14:paraId="206B0BED" w14:textId="77777777" w:rsidR="00873D8A" w:rsidRDefault="00873D8A">
          <w:pPr>
            <w:pBdr>
              <w:top w:val="nil"/>
              <w:left w:val="nil"/>
              <w:bottom w:val="nil"/>
              <w:right w:val="nil"/>
              <w:between w:val="nil"/>
            </w:pBdr>
            <w:spacing w:line="276" w:lineRule="auto"/>
            <w:ind w:left="0" w:hanging="2"/>
            <w:rPr>
              <w:color w:val="000000"/>
            </w:rPr>
          </w:pPr>
        </w:p>
      </w:tc>
      <w:tc>
        <w:tcPr>
          <w:tcW w:w="6354" w:type="dxa"/>
          <w:shd w:val="clear" w:color="auto" w:fill="E6E6E6"/>
          <w:vAlign w:val="center"/>
        </w:tcPr>
        <w:p w14:paraId="45B53F57"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333399"/>
              <w:sz w:val="24"/>
              <w:szCs w:val="24"/>
            </w:rPr>
          </w:pPr>
          <w:r>
            <w:rPr>
              <w:b/>
              <w:color w:val="333399"/>
              <w:sz w:val="24"/>
              <w:szCs w:val="24"/>
            </w:rPr>
            <w:t>Акредитација студијског програма</w:t>
          </w:r>
        </w:p>
      </w:tc>
      <w:tc>
        <w:tcPr>
          <w:tcW w:w="1670" w:type="dxa"/>
          <w:vMerge/>
          <w:vAlign w:val="center"/>
        </w:tcPr>
        <w:p w14:paraId="554BC7F1" w14:textId="77777777" w:rsidR="00873D8A" w:rsidRDefault="00873D8A">
          <w:pPr>
            <w:pBdr>
              <w:top w:val="nil"/>
              <w:left w:val="nil"/>
              <w:bottom w:val="nil"/>
              <w:right w:val="nil"/>
              <w:between w:val="nil"/>
            </w:pBdr>
            <w:spacing w:line="276" w:lineRule="auto"/>
            <w:ind w:left="0" w:hanging="2"/>
            <w:rPr>
              <w:color w:val="333399"/>
              <w:sz w:val="24"/>
              <w:szCs w:val="24"/>
            </w:rPr>
          </w:pPr>
        </w:p>
      </w:tc>
    </w:tr>
    <w:tr w:rsidR="00873D8A" w14:paraId="204F0C9F" w14:textId="77777777">
      <w:trPr>
        <w:cantSplit/>
        <w:trHeight w:val="449"/>
        <w:jc w:val="center"/>
      </w:trPr>
      <w:tc>
        <w:tcPr>
          <w:tcW w:w="1634" w:type="dxa"/>
          <w:vMerge/>
          <w:vAlign w:val="center"/>
        </w:tcPr>
        <w:p w14:paraId="2663CC32" w14:textId="77777777" w:rsidR="00873D8A" w:rsidRDefault="00873D8A">
          <w:pPr>
            <w:pBdr>
              <w:top w:val="nil"/>
              <w:left w:val="nil"/>
              <w:bottom w:val="nil"/>
              <w:right w:val="nil"/>
              <w:between w:val="nil"/>
            </w:pBdr>
            <w:spacing w:line="276" w:lineRule="auto"/>
            <w:ind w:left="0" w:hanging="2"/>
            <w:rPr>
              <w:color w:val="333399"/>
              <w:sz w:val="24"/>
              <w:szCs w:val="24"/>
            </w:rPr>
          </w:pPr>
        </w:p>
      </w:tc>
      <w:tc>
        <w:tcPr>
          <w:tcW w:w="6354" w:type="dxa"/>
          <w:shd w:val="clear" w:color="auto" w:fill="FFFFFF"/>
          <w:vAlign w:val="center"/>
        </w:tcPr>
        <w:p w14:paraId="5D9D6FE1"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333399"/>
              <w:sz w:val="24"/>
              <w:szCs w:val="24"/>
            </w:rPr>
          </w:pPr>
          <w:r>
            <w:rPr>
              <w:b/>
              <w:color w:val="333399"/>
              <w:sz w:val="24"/>
              <w:szCs w:val="24"/>
            </w:rPr>
            <w:t>Основне академске студије</w:t>
          </w:r>
        </w:p>
        <w:p w14:paraId="7BDA0325"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333399"/>
              <w:sz w:val="24"/>
              <w:szCs w:val="24"/>
            </w:rPr>
          </w:pPr>
          <w:r>
            <w:rPr>
              <w:b/>
              <w:color w:val="333399"/>
              <w:sz w:val="24"/>
              <w:szCs w:val="24"/>
            </w:rPr>
            <w:t>социјалне политике и социјалног рада</w:t>
          </w:r>
        </w:p>
      </w:tc>
      <w:tc>
        <w:tcPr>
          <w:tcW w:w="1670" w:type="dxa"/>
          <w:vMerge/>
          <w:vAlign w:val="center"/>
        </w:tcPr>
        <w:p w14:paraId="75B79EAB" w14:textId="77777777" w:rsidR="00873D8A" w:rsidRDefault="00873D8A">
          <w:pPr>
            <w:pBdr>
              <w:top w:val="nil"/>
              <w:left w:val="nil"/>
              <w:bottom w:val="nil"/>
              <w:right w:val="nil"/>
              <w:between w:val="nil"/>
            </w:pBdr>
            <w:spacing w:line="276" w:lineRule="auto"/>
            <w:ind w:left="0" w:hanging="2"/>
            <w:rPr>
              <w:color w:val="333399"/>
              <w:sz w:val="24"/>
              <w:szCs w:val="24"/>
            </w:rPr>
          </w:pPr>
        </w:p>
      </w:tc>
    </w:tr>
  </w:tbl>
  <w:p w14:paraId="13A3E50A" w14:textId="77777777" w:rsidR="00873D8A" w:rsidRDefault="00000000">
    <w:pPr>
      <w:pBdr>
        <w:top w:val="nil"/>
        <w:left w:val="nil"/>
        <w:bottom w:val="nil"/>
        <w:right w:val="nil"/>
        <w:between w:val="nil"/>
      </w:pBdr>
      <w:tabs>
        <w:tab w:val="center" w:pos="4320"/>
        <w:tab w:val="right" w:pos="8640"/>
      </w:tabs>
      <w:spacing w:line="240" w:lineRule="auto"/>
      <w:ind w:left="0" w:hanging="2"/>
      <w:jc w:val="center"/>
      <w:rPr>
        <w:color w:val="000000"/>
      </w:rPr>
    </w:pPr>
    <w:r>
      <w:rPr>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D8A"/>
    <w:rsid w:val="00012C8C"/>
    <w:rsid w:val="000857C8"/>
    <w:rsid w:val="001850FD"/>
    <w:rsid w:val="002162B5"/>
    <w:rsid w:val="00290900"/>
    <w:rsid w:val="0032533F"/>
    <w:rsid w:val="0046348B"/>
    <w:rsid w:val="004A2958"/>
    <w:rsid w:val="00555607"/>
    <w:rsid w:val="005A1C63"/>
    <w:rsid w:val="006953DC"/>
    <w:rsid w:val="007E0E52"/>
    <w:rsid w:val="008433F5"/>
    <w:rsid w:val="00873D8A"/>
    <w:rsid w:val="00943835"/>
    <w:rsid w:val="00984E05"/>
    <w:rsid w:val="009E1D56"/>
    <w:rsid w:val="00A01F92"/>
    <w:rsid w:val="00B11A6C"/>
    <w:rsid w:val="00B20A55"/>
    <w:rsid w:val="00C60F74"/>
    <w:rsid w:val="00D006EC"/>
    <w:rsid w:val="00DD5BB1"/>
    <w:rsid w:val="00DF4C07"/>
    <w:rsid w:val="00E27246"/>
    <w:rsid w:val="00E31D70"/>
    <w:rsid w:val="00F175F9"/>
    <w:rsid w:val="00F45160"/>
    <w:rsid w:val="00FB3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82065"/>
  <w15:docId w15:val="{F6240655-930A-4482-B757-784F0BD00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Cyr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line="1" w:lineRule="atLeast"/>
      <w:ind w:leftChars="-1" w:left="-1" w:hangingChars="1" w:hanging="1"/>
      <w:textDirection w:val="btLr"/>
      <w:textAlignment w:val="top"/>
      <w:outlineLvl w:val="0"/>
    </w:pPr>
    <w:rPr>
      <w:position w:val="-1"/>
      <w:lang w:val="sr-Latn" w:eastAsia="sr-Latn"/>
    </w:rPr>
  </w:style>
  <w:style w:type="paragraph" w:styleId="Heading1">
    <w:name w:val="heading 1"/>
    <w:basedOn w:val="Normal"/>
    <w:next w:val="Normal"/>
    <w:uiPriority w:val="9"/>
    <w:qFormat/>
    <w:pPr>
      <w:keepNext/>
    </w:pPr>
    <w:rPr>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rPr>
      <w:rFonts w:ascii="Tahoma" w:hAnsi="Tahoma" w:cs="Tahoma"/>
      <w:sz w:val="16"/>
      <w:szCs w:val="16"/>
    </w:rPr>
  </w:style>
  <w:style w:type="character" w:styleId="Hyperlink">
    <w:name w:val="Hyperlink"/>
    <w:rPr>
      <w:color w:val="0000FF"/>
      <w:w w:val="100"/>
      <w:position w:val="-1"/>
      <w:u w:val="single"/>
      <w:effect w:val="none"/>
      <w:vertAlign w:val="baseline"/>
      <w:cs w:val="0"/>
      <w:em w:val="none"/>
    </w:rPr>
  </w:style>
  <w:style w:type="paragraph" w:styleId="BodyText2">
    <w:name w:val="Body Text 2"/>
    <w:basedOn w:val="Normal"/>
    <w:pPr>
      <w:widowControl/>
      <w:autoSpaceDE/>
      <w:autoSpaceDN/>
      <w:adjustRightInd/>
      <w:jc w:val="both"/>
    </w:pPr>
    <w:rPr>
      <w:sz w:val="24"/>
      <w:szCs w:val="24"/>
      <w:lang w:eastAsia="en-US"/>
    </w:rPr>
  </w:style>
  <w:style w:type="paragraph" w:styleId="BodyText">
    <w:name w:val="Body Text"/>
    <w:basedOn w:val="Normal"/>
    <w:rPr>
      <w:sz w:val="24"/>
      <w:lang w:val="sr-Cyrl"/>
    </w:rPr>
  </w:style>
  <w:style w:type="character" w:styleId="FollowedHyperlink">
    <w:name w:val="FollowedHyperlink"/>
    <w:rPr>
      <w:color w:val="800080"/>
      <w:w w:val="100"/>
      <w:position w:val="-1"/>
      <w:u w:val="single"/>
      <w:effect w:val="none"/>
      <w:vertAlign w:val="baseline"/>
      <w:cs w:val="0"/>
      <w:em w:val="none"/>
    </w:rPr>
  </w:style>
  <w:style w:type="character" w:styleId="Mention">
    <w:name w:val="Mention"/>
    <w:qFormat/>
    <w:rPr>
      <w:color w:val="2B579A"/>
      <w:w w:val="100"/>
      <w:position w:val="-1"/>
      <w:effect w:val="none"/>
      <w:shd w:val="clear" w:color="auto" w:fill="E6E6E6"/>
      <w:vertAlign w:val="baseline"/>
      <w:cs w:val="0"/>
      <w:em w:val="none"/>
    </w:rPr>
  </w:style>
  <w:style w:type="character" w:styleId="UnresolvedMention">
    <w:name w:val="Unresolved Mention"/>
    <w:qFormat/>
    <w:rPr>
      <w:color w:val="808080"/>
      <w:w w:val="100"/>
      <w:position w:val="-1"/>
      <w:effect w:val="none"/>
      <w:shd w:val="clear" w:color="auto" w:fill="E6E6E6"/>
      <w:vertAlign w:val="baseline"/>
      <w:cs w:val="0"/>
      <w:em w:val="none"/>
    </w:rPr>
  </w:style>
  <w:style w:type="character" w:customStyle="1" w:styleId="HeaderChar">
    <w:name w:val="Header Char"/>
    <w:rPr>
      <w:w w:val="100"/>
      <w:position w:val="-1"/>
      <w:effect w:val="none"/>
      <w:vertAlign w:val="baseline"/>
      <w:cs w:val="0"/>
      <w:em w:val="none"/>
      <w:lang w:val="sr-Latn" w:eastAsia="sr-Lat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CommentReference">
    <w:name w:val="annotation reference"/>
    <w:basedOn w:val="DefaultParagraphFont"/>
    <w:uiPriority w:val="99"/>
    <w:semiHidden/>
    <w:unhideWhenUsed/>
    <w:rsid w:val="0032533F"/>
    <w:rPr>
      <w:sz w:val="16"/>
      <w:szCs w:val="16"/>
    </w:rPr>
  </w:style>
  <w:style w:type="paragraph" w:styleId="CommentText">
    <w:name w:val="annotation text"/>
    <w:basedOn w:val="Normal"/>
    <w:link w:val="CommentTextChar"/>
    <w:uiPriority w:val="99"/>
    <w:unhideWhenUsed/>
    <w:rsid w:val="0032533F"/>
    <w:pPr>
      <w:spacing w:line="240" w:lineRule="auto"/>
    </w:pPr>
  </w:style>
  <w:style w:type="character" w:customStyle="1" w:styleId="CommentTextChar">
    <w:name w:val="Comment Text Char"/>
    <w:basedOn w:val="DefaultParagraphFont"/>
    <w:link w:val="CommentText"/>
    <w:uiPriority w:val="99"/>
    <w:rsid w:val="0032533F"/>
    <w:rPr>
      <w:position w:val="-1"/>
      <w:lang w:val="sr-Latn" w:eastAsia="sr-Latn"/>
    </w:rPr>
  </w:style>
  <w:style w:type="paragraph" w:styleId="CommentSubject">
    <w:name w:val="annotation subject"/>
    <w:basedOn w:val="CommentText"/>
    <w:next w:val="CommentText"/>
    <w:link w:val="CommentSubjectChar"/>
    <w:uiPriority w:val="99"/>
    <w:semiHidden/>
    <w:unhideWhenUsed/>
    <w:rsid w:val="0032533F"/>
    <w:rPr>
      <w:b/>
      <w:bCs/>
    </w:rPr>
  </w:style>
  <w:style w:type="character" w:customStyle="1" w:styleId="CommentSubjectChar">
    <w:name w:val="Comment Subject Char"/>
    <w:basedOn w:val="CommentTextChar"/>
    <w:link w:val="CommentSubject"/>
    <w:uiPriority w:val="99"/>
    <w:semiHidden/>
    <w:rsid w:val="0032533F"/>
    <w:rPr>
      <w:b/>
      <w:bCs/>
      <w:position w:val="-1"/>
      <w:lang w:val="sr-Latn" w:eastAsia="sr-Lat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7saKyLmu46Oryc0bv7hOZ58u+Q==">CgMxLjA4AHIhMW52NWU4NFVZbnRDbUdDZGxFbFBaT2toVEZDNHJwUFhN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536</Words>
  <Characters>3519</Characters>
  <Application>Microsoft Office Word</Application>
  <DocSecurity>0</DocSecurity>
  <Lines>90</Lines>
  <Paragraphs>72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Табела 5.2. Спецификација предмета</vt:lpstr>
      <vt: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Office</cp:lastModifiedBy>
  <cp:revision>14</cp:revision>
  <dcterms:created xsi:type="dcterms:W3CDTF">2022-03-23T17:34:00Z</dcterms:created>
  <dcterms:modified xsi:type="dcterms:W3CDTF">2026-02-17T21:10:00Z</dcterms:modified>
</cp:coreProperties>
</file>